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4C0" w:rsidRPr="00DB1675" w:rsidRDefault="00A924C0" w:rsidP="00A924C0">
      <w:pPr>
        <w:ind w:firstLine="720"/>
        <w:jc w:val="both"/>
        <w:rPr>
          <w:b/>
        </w:rPr>
      </w:pPr>
      <w:bookmarkStart w:id="0" w:name="_GoBack"/>
      <w:bookmarkEnd w:id="0"/>
    </w:p>
    <w:p w:rsidR="00A924C0" w:rsidRPr="00DB1675" w:rsidRDefault="00A924C0" w:rsidP="00A924C0">
      <w:pPr>
        <w:ind w:firstLine="709"/>
        <w:jc w:val="both"/>
      </w:pPr>
      <w:r w:rsidRPr="00DB1675">
        <w:rPr>
          <w:noProof/>
        </w:rPr>
        <w:drawing>
          <wp:anchor distT="0" distB="0" distL="114300" distR="114300" simplePos="0" relativeHeight="251660288" behindDoc="0" locked="0" layoutInCell="1" allowOverlap="1">
            <wp:simplePos x="0" y="0"/>
            <wp:positionH relativeFrom="margin">
              <wp:posOffset>5742057</wp:posOffset>
            </wp:positionH>
            <wp:positionV relativeFrom="paragraph">
              <wp:posOffset>49723</wp:posOffset>
            </wp:positionV>
            <wp:extent cx="593200" cy="707666"/>
            <wp:effectExtent l="1905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2969" cy="707390"/>
                    </a:xfrm>
                    <a:prstGeom prst="rect">
                      <a:avLst/>
                    </a:prstGeom>
                  </pic:spPr>
                </pic:pic>
              </a:graphicData>
            </a:graphic>
          </wp:anchor>
        </w:drawing>
      </w:r>
      <w:r w:rsidRPr="00DB1675">
        <w:rPr>
          <w:noProof/>
        </w:rPr>
        <w:drawing>
          <wp:anchor distT="0" distB="0" distL="114300" distR="114300" simplePos="0" relativeHeight="251659264" behindDoc="0" locked="0" layoutInCell="1" allowOverlap="1">
            <wp:simplePos x="0" y="0"/>
            <wp:positionH relativeFrom="margin">
              <wp:posOffset>199997</wp:posOffset>
            </wp:positionH>
            <wp:positionV relativeFrom="paragraph">
              <wp:posOffset>-140777</wp:posOffset>
            </wp:positionV>
            <wp:extent cx="593201" cy="898497"/>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201" cy="898497"/>
                    </a:xfrm>
                    <a:prstGeom prst="rect">
                      <a:avLst/>
                    </a:prstGeom>
                    <a:noFill/>
                    <a:ln>
                      <a:noFill/>
                    </a:ln>
                  </pic:spPr>
                </pic:pic>
              </a:graphicData>
            </a:graphic>
          </wp:anchor>
        </w:drawing>
      </w:r>
    </w:p>
    <w:p w:rsidR="00A924C0" w:rsidRPr="00DB1675" w:rsidRDefault="00A924C0" w:rsidP="00A924C0">
      <w:pPr>
        <w:pStyle w:val="Heading1"/>
        <w:tabs>
          <w:tab w:val="left" w:pos="0"/>
        </w:tabs>
        <w:jc w:val="center"/>
        <w:rPr>
          <w:b/>
          <w:sz w:val="24"/>
          <w:szCs w:val="24"/>
        </w:rPr>
      </w:pPr>
      <w:r w:rsidRPr="00DB1675">
        <w:rPr>
          <w:b/>
          <w:sz w:val="24"/>
          <w:szCs w:val="24"/>
        </w:rPr>
        <w:t>ROMÂNIA</w:t>
      </w:r>
    </w:p>
    <w:p w:rsidR="00A924C0" w:rsidRPr="00DB1675" w:rsidRDefault="00A924C0" w:rsidP="00A924C0">
      <w:pPr>
        <w:tabs>
          <w:tab w:val="left" w:pos="5130"/>
          <w:tab w:val="left" w:pos="9990"/>
        </w:tabs>
        <w:ind w:right="47"/>
        <w:jc w:val="center"/>
        <w:rPr>
          <w:b/>
        </w:rPr>
      </w:pPr>
      <w:r w:rsidRPr="00DB1675">
        <w:rPr>
          <w:b/>
        </w:rPr>
        <w:t>PRIMĂRIA ORAŞULUI BUHUŞI</w:t>
      </w:r>
    </w:p>
    <w:p w:rsidR="00A924C0" w:rsidRPr="00DB1675" w:rsidRDefault="00A924C0" w:rsidP="00A924C0">
      <w:pPr>
        <w:tabs>
          <w:tab w:val="left" w:pos="5130"/>
          <w:tab w:val="left" w:pos="9990"/>
        </w:tabs>
        <w:ind w:right="47"/>
        <w:jc w:val="center"/>
        <w:rPr>
          <w:b/>
        </w:rPr>
      </w:pPr>
      <w:r w:rsidRPr="00DB1675">
        <w:rPr>
          <w:b/>
        </w:rPr>
        <w:t>JUDEŢUL BACĂU</w:t>
      </w:r>
    </w:p>
    <w:tbl>
      <w:tblPr>
        <w:tblpPr w:leftFromText="180" w:rightFromText="180" w:vertAnchor="text" w:horzAnchor="margin" w:tblpXSpec="center" w:tblpY="129"/>
        <w:tblW w:w="10677" w:type="dxa"/>
        <w:tblLayout w:type="fixed"/>
        <w:tblLook w:val="0000" w:firstRow="0" w:lastRow="0" w:firstColumn="0" w:lastColumn="0" w:noHBand="0" w:noVBand="0"/>
      </w:tblPr>
      <w:tblGrid>
        <w:gridCol w:w="10677"/>
      </w:tblGrid>
      <w:tr w:rsidR="00A924C0" w:rsidRPr="00DB1675" w:rsidTr="002A2058">
        <w:trPr>
          <w:trHeight w:val="187"/>
        </w:trPr>
        <w:tc>
          <w:tcPr>
            <w:tcW w:w="10677" w:type="dxa"/>
            <w:tcBorders>
              <w:top w:val="single" w:sz="40" w:space="0" w:color="FF0000"/>
              <w:bottom w:val="single" w:sz="40" w:space="0" w:color="0000FF"/>
            </w:tcBorders>
            <w:shd w:val="clear" w:color="auto" w:fill="FFFF00"/>
          </w:tcPr>
          <w:p w:rsidR="00A924C0" w:rsidRPr="00DB1675" w:rsidRDefault="00A924C0" w:rsidP="002A2058">
            <w:pPr>
              <w:tabs>
                <w:tab w:val="left" w:pos="5130"/>
                <w:tab w:val="left" w:pos="9990"/>
              </w:tabs>
              <w:snapToGrid w:val="0"/>
              <w:ind w:right="47"/>
              <w:jc w:val="center"/>
            </w:pPr>
            <w:r w:rsidRPr="00DB1675">
              <w:t xml:space="preserve">  Str. Republicii, nr. 5, tel.: 0234-261220; fax: 0372897995; E-mail: secretariat@primariabuhusi.ro</w:t>
            </w:r>
          </w:p>
        </w:tc>
      </w:tr>
    </w:tbl>
    <w:p w:rsidR="00A924C0" w:rsidRDefault="00A924C0" w:rsidP="00A924C0">
      <w:pPr>
        <w:autoSpaceDE w:val="0"/>
        <w:autoSpaceDN w:val="0"/>
        <w:adjustRightInd w:val="0"/>
        <w:rPr>
          <w:b/>
          <w:bCs/>
        </w:rPr>
      </w:pPr>
      <w:r w:rsidRPr="00DB1675">
        <w:rPr>
          <w:b/>
          <w:bCs/>
        </w:rPr>
        <w:t xml:space="preserve">Nr. </w:t>
      </w:r>
      <w:r>
        <w:rPr>
          <w:b/>
          <w:bCs/>
        </w:rPr>
        <w:t xml:space="preserve">34416 </w:t>
      </w:r>
      <w:r w:rsidRPr="00DB1675">
        <w:rPr>
          <w:b/>
          <w:bCs/>
        </w:rPr>
        <w:t xml:space="preserve"> din  </w:t>
      </w:r>
      <w:r>
        <w:rPr>
          <w:b/>
          <w:bCs/>
        </w:rPr>
        <w:t>18</w:t>
      </w:r>
      <w:r w:rsidRPr="00DB1675">
        <w:rPr>
          <w:b/>
          <w:bCs/>
        </w:rPr>
        <w:t>.</w:t>
      </w:r>
      <w:r>
        <w:rPr>
          <w:b/>
          <w:bCs/>
        </w:rPr>
        <w:t xml:space="preserve"> 09</w:t>
      </w:r>
      <w:r w:rsidRPr="00DB1675">
        <w:rPr>
          <w:b/>
          <w:bCs/>
        </w:rPr>
        <w:t>.2026</w:t>
      </w:r>
      <w:r>
        <w:rPr>
          <w:b/>
          <w:bCs/>
        </w:rPr>
        <w:tab/>
      </w:r>
      <w:r>
        <w:rPr>
          <w:b/>
          <w:bCs/>
        </w:rPr>
        <w:tab/>
      </w:r>
      <w:r>
        <w:rPr>
          <w:b/>
          <w:bCs/>
        </w:rPr>
        <w:tab/>
      </w:r>
      <w:r>
        <w:rPr>
          <w:b/>
          <w:bCs/>
        </w:rPr>
        <w:tab/>
      </w:r>
      <w:r>
        <w:rPr>
          <w:b/>
          <w:bCs/>
        </w:rPr>
        <w:tab/>
      </w:r>
      <w:r>
        <w:rPr>
          <w:b/>
          <w:bCs/>
        </w:rPr>
        <w:tab/>
      </w:r>
      <w:r>
        <w:rPr>
          <w:b/>
          <w:bCs/>
        </w:rPr>
        <w:tab/>
      </w:r>
      <w:r>
        <w:rPr>
          <w:b/>
          <w:bCs/>
        </w:rPr>
        <w:tab/>
      </w:r>
    </w:p>
    <w:p w:rsidR="00A924C0" w:rsidRPr="00DB1675" w:rsidRDefault="00A924C0" w:rsidP="00A924C0">
      <w:pPr>
        <w:autoSpaceDE w:val="0"/>
        <w:autoSpaceDN w:val="0"/>
        <w:adjustRightInd w:val="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sidR="003E57EC">
        <w:rPr>
          <w:b/>
          <w:bCs/>
        </w:rPr>
        <w:t xml:space="preserve">       </w:t>
      </w:r>
      <w:r>
        <w:rPr>
          <w:b/>
          <w:bCs/>
        </w:rPr>
        <w:t>APROBAT</w:t>
      </w:r>
    </w:p>
    <w:p w:rsidR="00A924C0" w:rsidRDefault="00A924C0" w:rsidP="00A924C0">
      <w:pPr>
        <w:autoSpaceDE w:val="0"/>
        <w:autoSpaceDN w:val="0"/>
        <w:adjustRightInd w:val="0"/>
        <w:jc w:val="cente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PRIMAR,</w:t>
      </w:r>
    </w:p>
    <w:p w:rsidR="00A924C0" w:rsidRPr="00DB1675" w:rsidRDefault="00A924C0" w:rsidP="00A924C0">
      <w:pPr>
        <w:autoSpaceDE w:val="0"/>
        <w:autoSpaceDN w:val="0"/>
        <w:adjustRightInd w:val="0"/>
        <w:jc w:val="center"/>
        <w:rPr>
          <w:b/>
          <w:bCs/>
        </w:rPr>
      </w:pPr>
      <w:r>
        <w:rPr>
          <w:b/>
          <w:bCs/>
        </w:rPr>
        <w:t xml:space="preserve">                                                                                                                         VASILE ZAHARIA</w:t>
      </w:r>
    </w:p>
    <w:p w:rsidR="00A924C0" w:rsidRDefault="00A924C0" w:rsidP="00A924C0">
      <w:pPr>
        <w:autoSpaceDE w:val="0"/>
        <w:autoSpaceDN w:val="0"/>
        <w:adjustRightInd w:val="0"/>
        <w:jc w:val="center"/>
        <w:rPr>
          <w:b/>
          <w:bCs/>
        </w:rPr>
      </w:pPr>
    </w:p>
    <w:p w:rsidR="00A924C0" w:rsidRDefault="00A924C0" w:rsidP="00A924C0">
      <w:pPr>
        <w:autoSpaceDE w:val="0"/>
        <w:autoSpaceDN w:val="0"/>
        <w:adjustRightInd w:val="0"/>
        <w:jc w:val="center"/>
        <w:rPr>
          <w:b/>
          <w:bCs/>
        </w:rPr>
      </w:pPr>
    </w:p>
    <w:p w:rsidR="00A924C0" w:rsidRDefault="00A924C0" w:rsidP="00A924C0">
      <w:pPr>
        <w:autoSpaceDE w:val="0"/>
        <w:autoSpaceDN w:val="0"/>
        <w:adjustRightInd w:val="0"/>
        <w:jc w:val="center"/>
        <w:rPr>
          <w:b/>
          <w:bCs/>
        </w:rPr>
      </w:pPr>
    </w:p>
    <w:p w:rsidR="00A924C0" w:rsidRDefault="00A924C0" w:rsidP="00A924C0">
      <w:pPr>
        <w:autoSpaceDE w:val="0"/>
        <w:autoSpaceDN w:val="0"/>
        <w:adjustRightInd w:val="0"/>
        <w:jc w:val="center"/>
        <w:rPr>
          <w:b/>
          <w:bCs/>
        </w:rPr>
      </w:pPr>
    </w:p>
    <w:p w:rsidR="00A924C0" w:rsidRPr="00DB1675" w:rsidRDefault="00A924C0" w:rsidP="00A924C0">
      <w:pPr>
        <w:autoSpaceDE w:val="0"/>
        <w:autoSpaceDN w:val="0"/>
        <w:adjustRightInd w:val="0"/>
        <w:jc w:val="center"/>
        <w:rPr>
          <w:b/>
          <w:bCs/>
        </w:rPr>
      </w:pPr>
      <w:r>
        <w:rPr>
          <w:b/>
          <w:bCs/>
        </w:rPr>
        <w:t>RAPORT</w:t>
      </w:r>
    </w:p>
    <w:p w:rsidR="00A731ED" w:rsidRPr="00A924C0" w:rsidRDefault="003E57EC">
      <w:pPr>
        <w:pBdr>
          <w:bottom w:val="single" w:sz="6" w:space="0" w:color="000000"/>
        </w:pBdr>
        <w:spacing w:after="190"/>
        <w:jc w:val="center"/>
        <w:rPr>
          <w:b/>
        </w:rPr>
      </w:pPr>
      <w:r w:rsidRPr="00A924C0">
        <w:rPr>
          <w:b/>
          <w:i/>
          <w:iCs/>
        </w:rPr>
        <w:t>la proiectul de hotărâre privind înființarea Serviciului Public de Utilități Buhuși</w:t>
      </w:r>
    </w:p>
    <w:p w:rsidR="00A731ED" w:rsidRDefault="003E57EC">
      <w:pPr>
        <w:spacing w:after="120"/>
        <w:jc w:val="both"/>
      </w:pPr>
      <w:r>
        <w:tab/>
        <w:t>Prin Hotărârea Consiliului Local al Orașului Buhuși nr. 138/31.07.2026 a fost reziliat contractul de delegare a gestiunii nr. 5367/12.11.2007, încheiat cu operatorul S.C. GYNDAY S.R.L. Începând cu data de 31.07.2026, activitatea de colectare și transport al deșeurilor municipale se asigură în regim de urgență, în temeiul stării de alertă prelungite prin Hotărârea Comitetului Județean pentr</w:t>
      </w:r>
      <w:r w:rsidR="00A924C0">
        <w:t>u Situații de Urgență Bacău nr.14</w:t>
      </w:r>
      <w:r w:rsidRPr="00A924C0">
        <w:t xml:space="preserve">/ </w:t>
      </w:r>
      <w:r w:rsidR="00A924C0" w:rsidRPr="00A924C0">
        <w:t>18.08.2026.</w:t>
      </w:r>
    </w:p>
    <w:p w:rsidR="00A731ED" w:rsidRDefault="003E57EC">
      <w:pPr>
        <w:spacing w:after="120"/>
        <w:jc w:val="both"/>
      </w:pPr>
      <w:r>
        <w:tab/>
        <w:t>Potrivit art. 2 alin. (8) din Legea nr. 101/2006 a serviciului de salubrizare a localităților, republicată, transportul deșeurilor municipale se efectuează numai de către operatorii licențiați care au contract de delegare a gestiunii sau, în cazul gestiunii directe, hotărâre de dare în administrare. Înființarea operatorului constituie, prin urmare, condiția necesară pentru revenirea la un cadru legal de prestare a serviciului.</w:t>
      </w:r>
    </w:p>
    <w:p w:rsidR="00A731ED" w:rsidRDefault="003E57EC">
      <w:pPr>
        <w:spacing w:after="120"/>
        <w:jc w:val="both"/>
      </w:pPr>
      <w:r>
        <w:tab/>
        <w:t>Unitatea administrativ-teritorială are, totodată, calitatea de deținător legal al deșeurilor municipale depozitate în recipientele amplasate pe teritoriul său, potrivit art. 2 alin. (9) din aceeași lege, și răspunde direct pentru gestionarea acestora, indiferent de existența unui operator.</w:t>
      </w:r>
    </w:p>
    <w:p w:rsidR="00A731ED" w:rsidRDefault="003E57EC">
      <w:pPr>
        <w:spacing w:after="120"/>
        <w:jc w:val="both"/>
      </w:pPr>
      <w:r>
        <w:t>Din perspectiva legislației de mediu, înființarea serviciului este necesară pentru îndeplinirea următoarelor obligații ale unității administrativ-teritoriale:</w:t>
      </w:r>
    </w:p>
    <w:p w:rsidR="00A731ED" w:rsidRDefault="003E57EC">
      <w:pPr>
        <w:spacing w:after="90"/>
        <w:ind w:left="480" w:hanging="250"/>
        <w:jc w:val="both"/>
      </w:pPr>
      <w:r>
        <w:t>a) asigurarea colectării separate cel puțin pentru deșeurile de hârtie, metal, plastic și sticlă, precum și pentru textile, potrivit art. 17 alin. (5) lit. a) din Ordonanța de urgență a Guvernului nr. 92/2021 privind regimul deșeurilor;</w:t>
      </w:r>
    </w:p>
    <w:p w:rsidR="00A731ED" w:rsidRDefault="003E57EC">
      <w:pPr>
        <w:spacing w:after="90"/>
        <w:ind w:left="480" w:hanging="250"/>
        <w:jc w:val="both"/>
      </w:pPr>
      <w:r>
        <w:t>b) colectarea separată a biodeșeurilor, potrivit art. 33 din aceeași ordonanță de urgență;</w:t>
      </w:r>
    </w:p>
    <w:p w:rsidR="00A731ED" w:rsidRDefault="003E57EC">
      <w:pPr>
        <w:spacing w:after="90"/>
        <w:ind w:left="480" w:hanging="250"/>
        <w:jc w:val="both"/>
      </w:pPr>
      <w:r>
        <w:t>c) atingerea indicatorilor minimi de performanță prevăzuți în anexa nr. 5 la Ordonanța de urgență a Guvernului nr. 92/2021, a căror nerealizare atrage sancțiuni contravenționale de la 20.000 la 40.000 lei, potrivit art. 62 alin. (1) lit. a), precum și plata contribuției pentru economia circulară din bugetul local;</w:t>
      </w:r>
    </w:p>
    <w:p w:rsidR="00A731ED" w:rsidRDefault="003E57EC">
      <w:pPr>
        <w:spacing w:after="90"/>
        <w:ind w:left="480" w:hanging="250"/>
        <w:jc w:val="both"/>
      </w:pPr>
      <w:r>
        <w:t>d) implementarea sistemului de colectare separată pe minimum 4 fracții, potrivit art. 2 alin. (5) din Legea nr. 101/2006.</w:t>
      </w:r>
    </w:p>
    <w:p w:rsidR="00A731ED" w:rsidRDefault="003E57EC">
      <w:pPr>
        <w:spacing w:after="120"/>
        <w:jc w:val="both"/>
      </w:pPr>
      <w:r>
        <w:tab/>
        <w:t>Asigurarea calității și continuității serviciului constituie principiu legal de organizare a serviciului de salubrizare, consacrat de art. 3 lit. e) din Legea nr. 101/2006, iar organizarea acestuia intră în competența exclusivă a autorității deliberative, potrivit art. 6 alin. (1) din aceeași lege. Competența exclusivă implică obligația corelativă de a o exercita.</w:t>
      </w:r>
    </w:p>
    <w:p w:rsidR="003E57EC" w:rsidRPr="003E57EC" w:rsidRDefault="00A924C0">
      <w:pPr>
        <w:spacing w:after="120"/>
        <w:jc w:val="both"/>
        <w:rPr>
          <w:bCs/>
        </w:rPr>
      </w:pPr>
      <w:r>
        <w:rPr>
          <w:b/>
          <w:bCs/>
        </w:rPr>
        <w:tab/>
      </w:r>
      <w:r w:rsidRPr="00A924C0">
        <w:rPr>
          <w:bCs/>
        </w:rPr>
        <w:t>Având în vedere aceste</w:t>
      </w:r>
      <w:r w:rsidR="003E57EC">
        <w:rPr>
          <w:bCs/>
        </w:rPr>
        <w:t xml:space="preserve"> aspecte se propune spre dezbatere</w:t>
      </w:r>
      <w:r w:rsidRPr="00A924C0">
        <w:rPr>
          <w:bCs/>
        </w:rPr>
        <w:t xml:space="preserve"> și aprobare</w:t>
      </w:r>
      <w:r w:rsidR="003E57EC">
        <w:rPr>
          <w:bCs/>
        </w:rPr>
        <w:t xml:space="preserve"> de către Consiliul Local a </w:t>
      </w:r>
      <w:r w:rsidRPr="00A924C0">
        <w:rPr>
          <w:bCs/>
        </w:rPr>
        <w:t xml:space="preserve"> </w:t>
      </w:r>
      <w:r w:rsidR="003E57EC" w:rsidRPr="00A924C0">
        <w:rPr>
          <w:bCs/>
        </w:rPr>
        <w:t>proiectul</w:t>
      </w:r>
      <w:r w:rsidR="003E57EC">
        <w:rPr>
          <w:bCs/>
        </w:rPr>
        <w:t>ui</w:t>
      </w:r>
      <w:r w:rsidR="003E57EC" w:rsidRPr="00A924C0">
        <w:rPr>
          <w:bCs/>
        </w:rPr>
        <w:t xml:space="preserve"> de hotărâre privind înființarea Serviciului Public de Utilități Buhuși, serviciu public de interes local, specializat, cu personalitate juridică, în subordinea Consiliului Local al Orașului Buhuși</w:t>
      </w:r>
      <w:r w:rsidR="003E57EC">
        <w:rPr>
          <w:bCs/>
        </w:rPr>
        <w:t>.</w:t>
      </w:r>
    </w:p>
    <w:p w:rsidR="00A924C0" w:rsidRDefault="003E57EC" w:rsidP="00A924C0">
      <w:pPr>
        <w:spacing w:before="300"/>
        <w:jc w:val="center"/>
      </w:pPr>
      <w:r>
        <w:rPr>
          <w:b/>
          <w:bCs/>
        </w:rPr>
        <w:t>COMPARTIMENTUL PROTECȚIA MEDIULUI,</w:t>
      </w:r>
    </w:p>
    <w:p w:rsidR="00A731ED" w:rsidRPr="00A924C0" w:rsidRDefault="00A924C0">
      <w:pPr>
        <w:spacing w:after="130"/>
        <w:jc w:val="center"/>
        <w:rPr>
          <w:b/>
        </w:rPr>
      </w:pPr>
      <w:r w:rsidRPr="00A924C0">
        <w:rPr>
          <w:b/>
        </w:rPr>
        <w:t>Cons. sup.</w:t>
      </w:r>
      <w:r w:rsidR="003E57EC" w:rsidRPr="00A924C0">
        <w:rPr>
          <w:b/>
        </w:rPr>
        <w:t>Maftei Simona</w:t>
      </w:r>
    </w:p>
    <w:sectPr w:rsidR="00A731ED" w:rsidRPr="00A924C0" w:rsidSect="00A924C0">
      <w:pgSz w:w="11906" w:h="16838" w:code="9"/>
      <w:pgMar w:top="454" w:right="567" w:bottom="397" w:left="113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A3FCE"/>
    <w:multiLevelType w:val="hybridMultilevel"/>
    <w:tmpl w:val="00287840"/>
    <w:lvl w:ilvl="0" w:tplc="89C857C8">
      <w:start w:val="1"/>
      <w:numFmt w:val="bullet"/>
      <w:lvlText w:val="●"/>
      <w:lvlJc w:val="left"/>
      <w:pPr>
        <w:ind w:left="720" w:hanging="360"/>
      </w:pPr>
    </w:lvl>
    <w:lvl w:ilvl="1" w:tplc="015ECB4C">
      <w:start w:val="1"/>
      <w:numFmt w:val="bullet"/>
      <w:lvlText w:val="○"/>
      <w:lvlJc w:val="left"/>
      <w:pPr>
        <w:ind w:left="1440" w:hanging="360"/>
      </w:pPr>
    </w:lvl>
    <w:lvl w:ilvl="2" w:tplc="98F0B456">
      <w:start w:val="1"/>
      <w:numFmt w:val="bullet"/>
      <w:lvlText w:val="■"/>
      <w:lvlJc w:val="left"/>
      <w:pPr>
        <w:ind w:left="2160" w:hanging="360"/>
      </w:pPr>
    </w:lvl>
    <w:lvl w:ilvl="3" w:tplc="BE507EA4">
      <w:start w:val="1"/>
      <w:numFmt w:val="bullet"/>
      <w:lvlText w:val="●"/>
      <w:lvlJc w:val="left"/>
      <w:pPr>
        <w:ind w:left="2880" w:hanging="360"/>
      </w:pPr>
    </w:lvl>
    <w:lvl w:ilvl="4" w:tplc="E9A629B0">
      <w:start w:val="1"/>
      <w:numFmt w:val="bullet"/>
      <w:lvlText w:val="○"/>
      <w:lvlJc w:val="left"/>
      <w:pPr>
        <w:ind w:left="3600" w:hanging="360"/>
      </w:pPr>
    </w:lvl>
    <w:lvl w:ilvl="5" w:tplc="B9F0A918">
      <w:start w:val="1"/>
      <w:numFmt w:val="bullet"/>
      <w:lvlText w:val="■"/>
      <w:lvlJc w:val="left"/>
      <w:pPr>
        <w:ind w:left="4320" w:hanging="360"/>
      </w:pPr>
    </w:lvl>
    <w:lvl w:ilvl="6" w:tplc="82F8D4A2">
      <w:start w:val="1"/>
      <w:numFmt w:val="bullet"/>
      <w:lvlText w:val="●"/>
      <w:lvlJc w:val="left"/>
      <w:pPr>
        <w:ind w:left="5040" w:hanging="360"/>
      </w:pPr>
    </w:lvl>
    <w:lvl w:ilvl="7" w:tplc="CCE02388">
      <w:start w:val="1"/>
      <w:numFmt w:val="bullet"/>
      <w:lvlText w:val="●"/>
      <w:lvlJc w:val="left"/>
      <w:pPr>
        <w:ind w:left="5760" w:hanging="360"/>
      </w:pPr>
    </w:lvl>
    <w:lvl w:ilvl="8" w:tplc="70FCD20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ED"/>
    <w:rsid w:val="00174FEA"/>
    <w:rsid w:val="003D3422"/>
    <w:rsid w:val="003E57EC"/>
    <w:rsid w:val="00723D60"/>
    <w:rsid w:val="00A731ED"/>
    <w:rsid w:val="00A924C0"/>
    <w:rsid w:val="00D97A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A11028-7E42-4259-A317-A6039343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3D60"/>
  </w:style>
  <w:style w:type="paragraph" w:styleId="Heading1">
    <w:name w:val="heading 1"/>
    <w:uiPriority w:val="9"/>
    <w:qFormat/>
    <w:rsid w:val="00723D60"/>
    <w:pPr>
      <w:outlineLvl w:val="0"/>
    </w:pPr>
    <w:rPr>
      <w:color w:val="2E74B5"/>
      <w:sz w:val="32"/>
      <w:szCs w:val="32"/>
    </w:rPr>
  </w:style>
  <w:style w:type="paragraph" w:styleId="Heading2">
    <w:name w:val="heading 2"/>
    <w:uiPriority w:val="9"/>
    <w:semiHidden/>
    <w:unhideWhenUsed/>
    <w:qFormat/>
    <w:rsid w:val="00723D60"/>
    <w:pPr>
      <w:outlineLvl w:val="1"/>
    </w:pPr>
    <w:rPr>
      <w:color w:val="2E74B5"/>
      <w:sz w:val="26"/>
      <w:szCs w:val="26"/>
    </w:rPr>
  </w:style>
  <w:style w:type="paragraph" w:styleId="Heading3">
    <w:name w:val="heading 3"/>
    <w:uiPriority w:val="9"/>
    <w:semiHidden/>
    <w:unhideWhenUsed/>
    <w:qFormat/>
    <w:rsid w:val="00723D60"/>
    <w:pPr>
      <w:outlineLvl w:val="2"/>
    </w:pPr>
    <w:rPr>
      <w:color w:val="1F4D78"/>
    </w:rPr>
  </w:style>
  <w:style w:type="paragraph" w:styleId="Heading4">
    <w:name w:val="heading 4"/>
    <w:uiPriority w:val="9"/>
    <w:semiHidden/>
    <w:unhideWhenUsed/>
    <w:qFormat/>
    <w:rsid w:val="00723D60"/>
    <w:pPr>
      <w:outlineLvl w:val="3"/>
    </w:pPr>
    <w:rPr>
      <w:i/>
      <w:iCs/>
      <w:color w:val="2E74B5"/>
    </w:rPr>
  </w:style>
  <w:style w:type="paragraph" w:styleId="Heading5">
    <w:name w:val="heading 5"/>
    <w:uiPriority w:val="9"/>
    <w:semiHidden/>
    <w:unhideWhenUsed/>
    <w:qFormat/>
    <w:rsid w:val="00723D60"/>
    <w:pPr>
      <w:outlineLvl w:val="4"/>
    </w:pPr>
    <w:rPr>
      <w:color w:val="2E74B5"/>
    </w:rPr>
  </w:style>
  <w:style w:type="paragraph" w:styleId="Heading6">
    <w:name w:val="heading 6"/>
    <w:uiPriority w:val="9"/>
    <w:semiHidden/>
    <w:unhideWhenUsed/>
    <w:qFormat/>
    <w:rsid w:val="00723D60"/>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723D60"/>
    <w:rPr>
      <w:sz w:val="56"/>
      <w:szCs w:val="56"/>
    </w:rPr>
  </w:style>
  <w:style w:type="paragraph" w:customStyle="1" w:styleId="Robust1">
    <w:name w:val="Robust1"/>
    <w:qFormat/>
    <w:rsid w:val="00723D60"/>
    <w:rPr>
      <w:b/>
      <w:bCs/>
    </w:rPr>
  </w:style>
  <w:style w:type="paragraph" w:styleId="ListParagraph">
    <w:name w:val="List Paragraph"/>
    <w:qFormat/>
    <w:rsid w:val="00723D60"/>
  </w:style>
  <w:style w:type="character" w:styleId="Hyperlink">
    <w:name w:val="Hyperlink"/>
    <w:uiPriority w:val="99"/>
    <w:unhideWhenUsed/>
    <w:rsid w:val="00723D60"/>
    <w:rPr>
      <w:color w:val="0563C1"/>
      <w:u w:val="single"/>
    </w:rPr>
  </w:style>
  <w:style w:type="character" w:styleId="FootnoteReference">
    <w:name w:val="footnote reference"/>
    <w:uiPriority w:val="99"/>
    <w:semiHidden/>
    <w:unhideWhenUsed/>
    <w:rsid w:val="00723D60"/>
    <w:rPr>
      <w:vertAlign w:val="superscript"/>
    </w:rPr>
  </w:style>
  <w:style w:type="paragraph" w:styleId="FootnoteText">
    <w:name w:val="footnote text"/>
    <w:link w:val="FootnoteTextChar"/>
    <w:uiPriority w:val="99"/>
    <w:semiHidden/>
    <w:unhideWhenUsed/>
    <w:rsid w:val="00723D60"/>
    <w:rPr>
      <w:sz w:val="20"/>
      <w:szCs w:val="20"/>
    </w:rPr>
  </w:style>
  <w:style w:type="character" w:customStyle="1" w:styleId="FootnoteTextChar">
    <w:name w:val="Footnote Text Char"/>
    <w:link w:val="FootnoteText"/>
    <w:uiPriority w:val="99"/>
    <w:semiHidden/>
    <w:unhideWhenUsed/>
    <w:rsid w:val="00723D60"/>
    <w:rPr>
      <w:sz w:val="20"/>
      <w:szCs w:val="20"/>
    </w:rPr>
  </w:style>
  <w:style w:type="character" w:styleId="EndnoteReference">
    <w:name w:val="endnote reference"/>
    <w:uiPriority w:val="99"/>
    <w:semiHidden/>
    <w:unhideWhenUsed/>
    <w:rsid w:val="00723D60"/>
    <w:rPr>
      <w:vertAlign w:val="superscript"/>
    </w:rPr>
  </w:style>
  <w:style w:type="paragraph" w:styleId="EndnoteText">
    <w:name w:val="endnote text"/>
    <w:link w:val="EndnoteTextChar"/>
    <w:uiPriority w:val="99"/>
    <w:semiHidden/>
    <w:unhideWhenUsed/>
    <w:rsid w:val="00723D60"/>
    <w:rPr>
      <w:sz w:val="20"/>
      <w:szCs w:val="20"/>
    </w:rPr>
  </w:style>
  <w:style w:type="character" w:customStyle="1" w:styleId="EndnoteTextChar">
    <w:name w:val="Endnote Text Char"/>
    <w:link w:val="EndnoteText"/>
    <w:uiPriority w:val="99"/>
    <w:semiHidden/>
    <w:unhideWhenUsed/>
    <w:rsid w:val="00723D6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484</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Un-named;S.C. VIACONS BUSINESS S.R.L.</dc:creator>
  <cp:lastModifiedBy>Mihaela</cp:lastModifiedBy>
  <cp:revision>2</cp:revision>
  <dcterms:created xsi:type="dcterms:W3CDTF">2026-09-18T06:55:00Z</dcterms:created>
  <dcterms:modified xsi:type="dcterms:W3CDTF">2026-09-18T06:55:00Z</dcterms:modified>
</cp:coreProperties>
</file>